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17" w:rsidRDefault="002C6E17" w:rsidP="007B0C3A">
      <w:pPr>
        <w:pStyle w:val="article-title"/>
        <w:spacing w:before="0" w:beforeAutospacing="0" w:after="270" w:afterAutospacing="0" w:line="360" w:lineRule="atLeas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F08D4" w:rsidRDefault="007F08D4" w:rsidP="007B0C3A">
      <w:pPr>
        <w:pStyle w:val="article-title"/>
        <w:spacing w:before="0" w:beforeAutospacing="0" w:after="270" w:afterAutospacing="0" w:line="360" w:lineRule="atLeas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ED7441" w:rsidRPr="002C6E17" w:rsidRDefault="00946E0B" w:rsidP="007B0C3A">
      <w:pPr>
        <w:pStyle w:val="article-title"/>
        <w:spacing w:before="0" w:beforeAutospacing="0" w:after="270" w:afterAutospacing="0" w:line="360" w:lineRule="atLeas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C6E17">
        <w:rPr>
          <w:rFonts w:ascii="Arial" w:hAnsi="Arial" w:cs="Arial"/>
          <w:b/>
          <w:bCs/>
          <w:sz w:val="22"/>
          <w:szCs w:val="22"/>
          <w:u w:val="single"/>
        </w:rPr>
        <w:t>THE</w:t>
      </w:r>
      <w:r w:rsidR="00C014CE" w:rsidRPr="002C6E1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53DA7" w:rsidRPr="002C6E17">
        <w:rPr>
          <w:rFonts w:ascii="Arial" w:hAnsi="Arial" w:cs="Arial"/>
          <w:b/>
          <w:bCs/>
          <w:sz w:val="22"/>
          <w:szCs w:val="22"/>
          <w:u w:val="single"/>
        </w:rPr>
        <w:t>SBA REFI</w:t>
      </w:r>
      <w:r w:rsidR="00CE70D7" w:rsidRPr="002C6E17">
        <w:rPr>
          <w:rFonts w:ascii="Arial" w:hAnsi="Arial" w:cs="Arial"/>
          <w:b/>
          <w:bCs/>
          <w:sz w:val="22"/>
          <w:szCs w:val="22"/>
          <w:u w:val="single"/>
        </w:rPr>
        <w:t xml:space="preserve">NANCE PROGRAM </w:t>
      </w:r>
      <w:r w:rsidR="00453DA7" w:rsidRPr="002C6E17">
        <w:rPr>
          <w:rFonts w:ascii="Arial" w:hAnsi="Arial" w:cs="Arial"/>
          <w:b/>
          <w:bCs/>
          <w:sz w:val="22"/>
          <w:szCs w:val="22"/>
          <w:u w:val="single"/>
        </w:rPr>
        <w:t>FACT SHEET</w:t>
      </w:r>
    </w:p>
    <w:p w:rsidR="00ED7441" w:rsidRPr="002C6E17" w:rsidRDefault="008C1A34" w:rsidP="00C014CE">
      <w:pPr>
        <w:pStyle w:val="NormalWeb"/>
        <w:numPr>
          <w:ilvl w:val="0"/>
          <w:numId w:val="1"/>
        </w:numPr>
        <w:spacing w:after="225" w:afterAutospacing="0" w:line="270" w:lineRule="atLeast"/>
        <w:rPr>
          <w:rFonts w:ascii="Arial" w:hAnsi="Arial" w:cs="Arial"/>
          <w:sz w:val="22"/>
          <w:szCs w:val="22"/>
        </w:rPr>
      </w:pPr>
      <w:r w:rsidRPr="002C6E17">
        <w:rPr>
          <w:rFonts w:ascii="Arial" w:hAnsi="Arial" w:cs="Arial"/>
          <w:sz w:val="22"/>
          <w:szCs w:val="22"/>
        </w:rPr>
        <w:t>CCDC</w:t>
      </w:r>
      <w:r w:rsidR="00ED7441" w:rsidRPr="002C6E17">
        <w:rPr>
          <w:rFonts w:ascii="Arial" w:hAnsi="Arial" w:cs="Arial"/>
          <w:sz w:val="22"/>
          <w:szCs w:val="22"/>
        </w:rPr>
        <w:t xml:space="preserve"> is now able to participate in a project that includes Refinancing </w:t>
      </w:r>
      <w:r w:rsidR="007629E1">
        <w:rPr>
          <w:rFonts w:ascii="Arial" w:hAnsi="Arial" w:cs="Arial"/>
          <w:sz w:val="22"/>
          <w:szCs w:val="22"/>
        </w:rPr>
        <w:t xml:space="preserve">only </w:t>
      </w:r>
      <w:r w:rsidR="00ED7441" w:rsidRPr="002C6E17">
        <w:rPr>
          <w:rFonts w:ascii="Arial" w:hAnsi="Arial" w:cs="Arial"/>
          <w:sz w:val="22"/>
          <w:szCs w:val="22"/>
        </w:rPr>
        <w:t xml:space="preserve">of </w:t>
      </w:r>
      <w:r w:rsidRPr="002C6E17">
        <w:rPr>
          <w:rFonts w:ascii="Arial" w:hAnsi="Arial" w:cs="Arial"/>
          <w:sz w:val="22"/>
          <w:szCs w:val="22"/>
        </w:rPr>
        <w:t xml:space="preserve">Commercial </w:t>
      </w:r>
      <w:r w:rsidR="00ED7441" w:rsidRPr="002C6E17">
        <w:rPr>
          <w:rFonts w:ascii="Arial" w:hAnsi="Arial" w:cs="Arial"/>
          <w:sz w:val="22"/>
          <w:szCs w:val="22"/>
        </w:rPr>
        <w:t xml:space="preserve">Real Estate </w:t>
      </w:r>
      <w:r w:rsidRPr="002C6E17">
        <w:rPr>
          <w:rFonts w:ascii="Arial" w:hAnsi="Arial" w:cs="Arial"/>
          <w:sz w:val="22"/>
          <w:szCs w:val="22"/>
        </w:rPr>
        <w:t>and/</w:t>
      </w:r>
      <w:r w:rsidR="00ED7441" w:rsidRPr="002C6E17">
        <w:rPr>
          <w:rFonts w:ascii="Arial" w:hAnsi="Arial" w:cs="Arial"/>
          <w:sz w:val="22"/>
          <w:szCs w:val="22"/>
        </w:rPr>
        <w:t>or Equipment Debt that is at least 2-years old and current within the last 12 months.</w:t>
      </w:r>
    </w:p>
    <w:p w:rsidR="008F2F2E" w:rsidRPr="002C6E17" w:rsidRDefault="00ED7441" w:rsidP="008C1A34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2C6E17">
        <w:rPr>
          <w:rFonts w:ascii="Arial" w:hAnsi="Arial" w:cs="Arial"/>
          <w:sz w:val="22"/>
          <w:szCs w:val="22"/>
        </w:rPr>
        <w:t>In addition</w:t>
      </w:r>
      <w:r w:rsidR="007629E1">
        <w:rPr>
          <w:rFonts w:ascii="Arial" w:hAnsi="Arial" w:cs="Arial"/>
          <w:sz w:val="22"/>
          <w:szCs w:val="22"/>
        </w:rPr>
        <w:t xml:space="preserve"> to paying off existing debt</w:t>
      </w:r>
      <w:r w:rsidRPr="002C6E17">
        <w:rPr>
          <w:rFonts w:ascii="Arial" w:hAnsi="Arial" w:cs="Arial"/>
          <w:sz w:val="22"/>
          <w:szCs w:val="22"/>
        </w:rPr>
        <w:t xml:space="preserve">, if there is adequate collateral </w:t>
      </w:r>
      <w:r w:rsidR="008F2F2E" w:rsidRPr="002C6E17">
        <w:rPr>
          <w:rFonts w:ascii="Arial" w:hAnsi="Arial" w:cs="Arial"/>
          <w:sz w:val="22"/>
          <w:szCs w:val="22"/>
        </w:rPr>
        <w:t xml:space="preserve">value </w:t>
      </w:r>
      <w:r w:rsidRPr="002C6E17">
        <w:rPr>
          <w:rFonts w:ascii="Arial" w:hAnsi="Arial" w:cs="Arial"/>
          <w:sz w:val="22"/>
          <w:szCs w:val="22"/>
        </w:rPr>
        <w:t xml:space="preserve">in </w:t>
      </w:r>
      <w:r w:rsidR="007629E1">
        <w:rPr>
          <w:rFonts w:ascii="Arial" w:hAnsi="Arial" w:cs="Arial"/>
          <w:sz w:val="22"/>
          <w:szCs w:val="22"/>
        </w:rPr>
        <w:t xml:space="preserve">the </w:t>
      </w:r>
      <w:r w:rsidRPr="002C6E17">
        <w:rPr>
          <w:rFonts w:ascii="Arial" w:hAnsi="Arial" w:cs="Arial"/>
          <w:sz w:val="22"/>
          <w:szCs w:val="22"/>
        </w:rPr>
        <w:t xml:space="preserve">project real estate, equipment and other fixed assets, the refinancing can </w:t>
      </w:r>
      <w:r w:rsidR="008F2F2E" w:rsidRPr="002C6E17">
        <w:rPr>
          <w:rFonts w:ascii="Arial" w:hAnsi="Arial" w:cs="Arial"/>
          <w:sz w:val="22"/>
          <w:szCs w:val="22"/>
        </w:rPr>
        <w:t>also include</w:t>
      </w:r>
      <w:r w:rsidRPr="002C6E17">
        <w:rPr>
          <w:rFonts w:ascii="Arial" w:hAnsi="Arial" w:cs="Arial"/>
          <w:sz w:val="22"/>
          <w:szCs w:val="22"/>
        </w:rPr>
        <w:t xml:space="preserve"> funds for </w:t>
      </w:r>
      <w:r w:rsidR="008F2F2E" w:rsidRPr="002C6E17">
        <w:rPr>
          <w:rFonts w:ascii="Arial" w:hAnsi="Arial" w:cs="Arial"/>
          <w:sz w:val="22"/>
          <w:szCs w:val="22"/>
        </w:rPr>
        <w:t>Business O</w:t>
      </w:r>
      <w:r w:rsidRPr="002C6E17">
        <w:rPr>
          <w:rFonts w:ascii="Arial" w:hAnsi="Arial" w:cs="Arial"/>
          <w:sz w:val="22"/>
          <w:szCs w:val="22"/>
        </w:rPr>
        <w:t xml:space="preserve">perating </w:t>
      </w:r>
      <w:r w:rsidR="008F2F2E" w:rsidRPr="002C6E17">
        <w:rPr>
          <w:rFonts w:ascii="Arial" w:hAnsi="Arial" w:cs="Arial"/>
          <w:sz w:val="22"/>
          <w:szCs w:val="22"/>
        </w:rPr>
        <w:t>E</w:t>
      </w:r>
      <w:r w:rsidRPr="002C6E17">
        <w:rPr>
          <w:rFonts w:ascii="Arial" w:hAnsi="Arial" w:cs="Arial"/>
          <w:sz w:val="22"/>
          <w:szCs w:val="22"/>
        </w:rPr>
        <w:t>xpenses</w:t>
      </w:r>
      <w:r w:rsidR="0006653C">
        <w:rPr>
          <w:rFonts w:ascii="Arial" w:hAnsi="Arial" w:cs="Arial"/>
          <w:sz w:val="22"/>
          <w:szCs w:val="22"/>
        </w:rPr>
        <w:t>.  These expenses mus</w:t>
      </w:r>
      <w:r w:rsidRPr="002C6E17">
        <w:rPr>
          <w:rFonts w:ascii="Arial" w:hAnsi="Arial" w:cs="Arial"/>
          <w:sz w:val="22"/>
          <w:szCs w:val="22"/>
        </w:rPr>
        <w:t xml:space="preserve">t be spent </w:t>
      </w:r>
      <w:r w:rsidR="0006653C">
        <w:rPr>
          <w:rFonts w:ascii="Arial" w:hAnsi="Arial" w:cs="Arial"/>
          <w:sz w:val="22"/>
          <w:szCs w:val="22"/>
        </w:rPr>
        <w:t xml:space="preserve">within </w:t>
      </w:r>
      <w:r w:rsidRPr="002C6E17">
        <w:rPr>
          <w:rFonts w:ascii="Arial" w:hAnsi="Arial" w:cs="Arial"/>
          <w:sz w:val="22"/>
          <w:szCs w:val="22"/>
        </w:rPr>
        <w:t>18 months</w:t>
      </w:r>
      <w:r w:rsidR="008F2F2E" w:rsidRPr="002C6E17">
        <w:rPr>
          <w:rFonts w:ascii="Arial" w:hAnsi="Arial" w:cs="Arial"/>
          <w:sz w:val="22"/>
          <w:szCs w:val="22"/>
        </w:rPr>
        <w:t xml:space="preserve"> following the </w:t>
      </w:r>
      <w:r w:rsidR="007629E1">
        <w:rPr>
          <w:rFonts w:ascii="Arial" w:hAnsi="Arial" w:cs="Arial"/>
          <w:sz w:val="22"/>
          <w:szCs w:val="22"/>
        </w:rPr>
        <w:t xml:space="preserve">SBA </w:t>
      </w:r>
      <w:r w:rsidR="008F2F2E" w:rsidRPr="002C6E17">
        <w:rPr>
          <w:rFonts w:ascii="Arial" w:hAnsi="Arial" w:cs="Arial"/>
          <w:sz w:val="22"/>
          <w:szCs w:val="22"/>
        </w:rPr>
        <w:t xml:space="preserve">504 </w:t>
      </w:r>
      <w:r w:rsidR="007629E1">
        <w:rPr>
          <w:rFonts w:ascii="Arial" w:hAnsi="Arial" w:cs="Arial"/>
          <w:sz w:val="22"/>
          <w:szCs w:val="22"/>
        </w:rPr>
        <w:t xml:space="preserve">loan </w:t>
      </w:r>
      <w:r w:rsidR="008F2F2E" w:rsidRPr="002C6E17">
        <w:rPr>
          <w:rFonts w:ascii="Arial" w:hAnsi="Arial" w:cs="Arial"/>
          <w:sz w:val="22"/>
          <w:szCs w:val="22"/>
        </w:rPr>
        <w:t>funding</w:t>
      </w:r>
      <w:r w:rsidRPr="002C6E17">
        <w:rPr>
          <w:rFonts w:ascii="Arial" w:hAnsi="Arial" w:cs="Arial"/>
          <w:sz w:val="22"/>
          <w:szCs w:val="22"/>
        </w:rPr>
        <w:t>.</w:t>
      </w:r>
      <w:r w:rsidR="008C1A34" w:rsidRPr="002C6E17">
        <w:rPr>
          <w:rFonts w:ascii="Arial" w:hAnsi="Arial" w:cs="Arial"/>
          <w:sz w:val="22"/>
          <w:szCs w:val="22"/>
        </w:rPr>
        <w:t xml:space="preserve"> </w:t>
      </w:r>
    </w:p>
    <w:p w:rsidR="008C1A34" w:rsidRPr="002C6E17" w:rsidRDefault="008C1A34" w:rsidP="008F2F2E">
      <w:pPr>
        <w:pStyle w:val="ListParagraph"/>
        <w:ind w:left="1440"/>
        <w:textAlignment w:val="baseline"/>
        <w:rPr>
          <w:rFonts w:ascii="Arial" w:hAnsi="Arial" w:cs="Arial"/>
          <w:sz w:val="22"/>
          <w:szCs w:val="22"/>
        </w:rPr>
      </w:pPr>
      <w:r w:rsidRPr="002C6E17">
        <w:rPr>
          <w:rFonts w:ascii="Arial" w:eastAsia="MS PGothic" w:hAnsi="Arial" w:cs="Arial"/>
          <w:b/>
          <w:bCs/>
          <w:iCs/>
          <w:kern w:val="24"/>
          <w:sz w:val="22"/>
          <w:szCs w:val="22"/>
          <w:u w:val="single"/>
        </w:rPr>
        <w:t xml:space="preserve">For any projects that include the financing of “Business Operating Expenses” </w:t>
      </w:r>
      <w:r w:rsidR="008F2F2E" w:rsidRPr="002C6E17">
        <w:rPr>
          <w:rFonts w:ascii="Arial" w:eastAsia="MS PGothic" w:hAnsi="Arial" w:cs="Arial"/>
          <w:iCs/>
          <w:kern w:val="24"/>
          <w:sz w:val="22"/>
          <w:szCs w:val="22"/>
        </w:rPr>
        <w:t>–</w:t>
      </w:r>
      <w:r w:rsidRPr="002C6E17">
        <w:rPr>
          <w:rFonts w:ascii="Arial" w:eastAsia="MS PGothic" w:hAnsi="Arial" w:cs="Arial"/>
          <w:iCs/>
          <w:kern w:val="24"/>
          <w:sz w:val="22"/>
          <w:szCs w:val="22"/>
        </w:rPr>
        <w:t xml:space="preserve"> </w:t>
      </w:r>
      <w:r w:rsidR="008F2F2E" w:rsidRPr="002C6E17">
        <w:rPr>
          <w:rFonts w:ascii="Arial" w:eastAsia="MS PGothic" w:hAnsi="Arial" w:cs="Arial"/>
          <w:iCs/>
          <w:kern w:val="24"/>
          <w:sz w:val="22"/>
          <w:szCs w:val="22"/>
        </w:rPr>
        <w:t xml:space="preserve">The SBA is requiring </w:t>
      </w:r>
      <w:r w:rsidRPr="002C6E17">
        <w:rPr>
          <w:rFonts w:ascii="Arial" w:eastAsia="MS PGothic" w:hAnsi="Arial" w:cs="Arial"/>
          <w:kern w:val="24"/>
          <w:sz w:val="22"/>
          <w:szCs w:val="22"/>
        </w:rPr>
        <w:t xml:space="preserve">a maximum </w:t>
      </w:r>
      <w:r w:rsidR="007F08D4">
        <w:rPr>
          <w:rFonts w:ascii="Arial" w:eastAsia="MS PGothic" w:hAnsi="Arial" w:cs="Arial"/>
          <w:kern w:val="24"/>
          <w:sz w:val="22"/>
          <w:szCs w:val="22"/>
        </w:rPr>
        <w:t>8</w:t>
      </w:r>
      <w:r w:rsidRPr="002C6E17">
        <w:rPr>
          <w:rFonts w:ascii="Arial" w:eastAsia="MS PGothic" w:hAnsi="Arial" w:cs="Arial"/>
          <w:kern w:val="24"/>
          <w:sz w:val="22"/>
          <w:szCs w:val="22"/>
        </w:rPr>
        <w:t>5% loan to value of the Refinancing Project</w:t>
      </w:r>
      <w:r w:rsidR="008F2F2E" w:rsidRPr="002C6E17">
        <w:rPr>
          <w:rFonts w:ascii="Arial" w:eastAsia="MS PGothic" w:hAnsi="Arial" w:cs="Arial"/>
          <w:kern w:val="24"/>
          <w:sz w:val="22"/>
          <w:szCs w:val="22"/>
        </w:rPr>
        <w:t xml:space="preserve"> (instead of 90%) and the dollar amount of</w:t>
      </w:r>
      <w:r w:rsidRPr="002C6E17">
        <w:rPr>
          <w:rFonts w:ascii="Arial" w:eastAsia="MS PGothic" w:hAnsi="Arial" w:cs="Arial"/>
          <w:kern w:val="24"/>
          <w:sz w:val="22"/>
          <w:szCs w:val="22"/>
        </w:rPr>
        <w:t xml:space="preserve"> the Business Operating Expenses portion of the project may not exceed 25% of the </w:t>
      </w:r>
      <w:r w:rsidR="008F2F2E" w:rsidRPr="002C6E17">
        <w:rPr>
          <w:rFonts w:ascii="Arial" w:eastAsia="MS PGothic" w:hAnsi="Arial" w:cs="Arial"/>
          <w:kern w:val="24"/>
          <w:sz w:val="22"/>
          <w:szCs w:val="22"/>
        </w:rPr>
        <w:t>total defined 504 project amount</w:t>
      </w:r>
      <w:r w:rsidRPr="002C6E17">
        <w:rPr>
          <w:rFonts w:ascii="Arial" w:eastAsia="MS PGothic" w:hAnsi="Arial" w:cs="Arial"/>
          <w:kern w:val="24"/>
          <w:sz w:val="22"/>
          <w:szCs w:val="22"/>
        </w:rPr>
        <w:t xml:space="preserve">.  </w:t>
      </w:r>
    </w:p>
    <w:p w:rsidR="008C1A34" w:rsidRPr="002C6E17" w:rsidRDefault="008C1A34" w:rsidP="008C1A34">
      <w:pPr>
        <w:pStyle w:val="ListParagraph"/>
        <w:textAlignment w:val="baseline"/>
        <w:rPr>
          <w:rFonts w:ascii="Arial" w:hAnsi="Arial" w:cs="Arial"/>
          <w:sz w:val="22"/>
          <w:szCs w:val="22"/>
        </w:rPr>
      </w:pPr>
    </w:p>
    <w:p w:rsidR="00ED7441" w:rsidRPr="002C6E17" w:rsidRDefault="00ED7441" w:rsidP="008C1A34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2C6E17">
        <w:rPr>
          <w:rFonts w:ascii="Arial" w:hAnsi="Arial" w:cs="Arial"/>
          <w:sz w:val="22"/>
          <w:szCs w:val="22"/>
        </w:rPr>
        <w:t xml:space="preserve">A loan that </w:t>
      </w:r>
      <w:r w:rsidR="00352567" w:rsidRPr="002C6E17">
        <w:rPr>
          <w:rFonts w:ascii="Arial" w:hAnsi="Arial" w:cs="Arial"/>
          <w:sz w:val="22"/>
          <w:szCs w:val="22"/>
        </w:rPr>
        <w:t xml:space="preserve">was </w:t>
      </w:r>
      <w:r w:rsidRPr="002C6E17">
        <w:rPr>
          <w:rFonts w:ascii="Arial" w:hAnsi="Arial" w:cs="Arial"/>
          <w:sz w:val="22"/>
          <w:szCs w:val="22"/>
        </w:rPr>
        <w:t>originally funded or guaranteed with Federal funds is not eligible.</w:t>
      </w:r>
      <w:r w:rsidR="008F2F2E" w:rsidRPr="002C6E17">
        <w:rPr>
          <w:rFonts w:ascii="Arial" w:hAnsi="Arial" w:cs="Arial"/>
          <w:sz w:val="22"/>
          <w:szCs w:val="22"/>
        </w:rPr>
        <w:t xml:space="preserve"> SBA 7a,</w:t>
      </w:r>
      <w:r w:rsidR="00C014CE" w:rsidRPr="002C6E17">
        <w:rPr>
          <w:rFonts w:ascii="Arial" w:hAnsi="Arial" w:cs="Arial"/>
          <w:sz w:val="22"/>
          <w:szCs w:val="22"/>
        </w:rPr>
        <w:t xml:space="preserve"> 504 </w:t>
      </w:r>
      <w:r w:rsidR="008F2F2E" w:rsidRPr="002C6E17">
        <w:rPr>
          <w:rFonts w:ascii="Arial" w:hAnsi="Arial" w:cs="Arial"/>
          <w:sz w:val="22"/>
          <w:szCs w:val="22"/>
        </w:rPr>
        <w:t xml:space="preserve">and USDA </w:t>
      </w:r>
      <w:r w:rsidR="00C014CE" w:rsidRPr="002C6E17">
        <w:rPr>
          <w:rFonts w:ascii="Arial" w:hAnsi="Arial" w:cs="Arial"/>
          <w:sz w:val="22"/>
          <w:szCs w:val="22"/>
        </w:rPr>
        <w:t xml:space="preserve">debt </w:t>
      </w:r>
      <w:r w:rsidR="00C014CE" w:rsidRPr="002C6E17">
        <w:rPr>
          <w:rFonts w:ascii="Arial" w:hAnsi="Arial" w:cs="Arial"/>
          <w:sz w:val="22"/>
          <w:szCs w:val="22"/>
          <w:u w:val="single"/>
        </w:rPr>
        <w:t>CANNOT</w:t>
      </w:r>
      <w:r w:rsidR="00C014CE" w:rsidRPr="002C6E17">
        <w:rPr>
          <w:rFonts w:ascii="Arial" w:hAnsi="Arial" w:cs="Arial"/>
          <w:sz w:val="22"/>
          <w:szCs w:val="22"/>
        </w:rPr>
        <w:t xml:space="preserve"> be refinanced.</w:t>
      </w:r>
    </w:p>
    <w:p w:rsidR="00ED7441" w:rsidRPr="002C6E17" w:rsidRDefault="00ED7441" w:rsidP="00C014CE">
      <w:pPr>
        <w:pStyle w:val="NormalWeb"/>
        <w:numPr>
          <w:ilvl w:val="0"/>
          <w:numId w:val="1"/>
        </w:numPr>
        <w:spacing w:after="225" w:afterAutospacing="0" w:line="270" w:lineRule="atLeast"/>
        <w:rPr>
          <w:rFonts w:ascii="Arial" w:hAnsi="Arial" w:cs="Arial"/>
          <w:sz w:val="22"/>
          <w:szCs w:val="22"/>
        </w:rPr>
      </w:pPr>
      <w:r w:rsidRPr="002C6E17">
        <w:rPr>
          <w:rFonts w:ascii="Arial" w:hAnsi="Arial" w:cs="Arial"/>
          <w:sz w:val="22"/>
          <w:szCs w:val="22"/>
        </w:rPr>
        <w:t>The business must have been in business for at least two years</w:t>
      </w:r>
      <w:r w:rsidR="0006653C">
        <w:rPr>
          <w:rFonts w:ascii="Arial" w:hAnsi="Arial" w:cs="Arial"/>
          <w:sz w:val="22"/>
          <w:szCs w:val="22"/>
        </w:rPr>
        <w:t>,</w:t>
      </w:r>
      <w:r w:rsidRPr="002C6E17">
        <w:rPr>
          <w:rFonts w:ascii="Arial" w:hAnsi="Arial" w:cs="Arial"/>
          <w:sz w:val="22"/>
          <w:szCs w:val="22"/>
        </w:rPr>
        <w:t xml:space="preserve"> with no </w:t>
      </w:r>
      <w:r w:rsidR="007F08D4">
        <w:rPr>
          <w:rFonts w:ascii="Arial" w:hAnsi="Arial" w:cs="Arial"/>
          <w:sz w:val="22"/>
          <w:szCs w:val="22"/>
        </w:rPr>
        <w:t xml:space="preserve">major </w:t>
      </w:r>
      <w:r w:rsidRPr="002C6E17">
        <w:rPr>
          <w:rFonts w:ascii="Arial" w:hAnsi="Arial" w:cs="Arial"/>
          <w:sz w:val="22"/>
          <w:szCs w:val="22"/>
        </w:rPr>
        <w:t>change in ownership during that time.</w:t>
      </w:r>
    </w:p>
    <w:p w:rsidR="00ED7441" w:rsidRPr="002C6E17" w:rsidRDefault="00ED7441" w:rsidP="00C014CE">
      <w:pPr>
        <w:pStyle w:val="NormalWeb"/>
        <w:numPr>
          <w:ilvl w:val="0"/>
          <w:numId w:val="1"/>
        </w:numPr>
        <w:spacing w:after="225" w:afterAutospacing="0" w:line="270" w:lineRule="atLeast"/>
        <w:rPr>
          <w:rFonts w:ascii="Arial" w:hAnsi="Arial" w:cs="Arial"/>
          <w:sz w:val="22"/>
          <w:szCs w:val="22"/>
        </w:rPr>
      </w:pPr>
      <w:r w:rsidRPr="002C6E17">
        <w:rPr>
          <w:rFonts w:ascii="Arial" w:hAnsi="Arial" w:cs="Arial"/>
          <w:sz w:val="22"/>
          <w:szCs w:val="22"/>
        </w:rPr>
        <w:t xml:space="preserve">Projects can range from $100,000 to over $10 million.  The maximum 504 loan is $5 million less any other outstanding SBA </w:t>
      </w:r>
      <w:r w:rsidR="00C014CE" w:rsidRPr="002C6E17">
        <w:rPr>
          <w:rFonts w:ascii="Arial" w:hAnsi="Arial" w:cs="Arial"/>
          <w:sz w:val="22"/>
          <w:szCs w:val="22"/>
        </w:rPr>
        <w:t xml:space="preserve">504/7a </w:t>
      </w:r>
      <w:r w:rsidRPr="002C6E17">
        <w:rPr>
          <w:rFonts w:ascii="Arial" w:hAnsi="Arial" w:cs="Arial"/>
          <w:sz w:val="22"/>
          <w:szCs w:val="22"/>
        </w:rPr>
        <w:t>debt.</w:t>
      </w:r>
    </w:p>
    <w:p w:rsidR="002C6E17" w:rsidRPr="002C6E17" w:rsidRDefault="00ED7441" w:rsidP="00C014CE">
      <w:pPr>
        <w:pStyle w:val="NormalWeb"/>
        <w:numPr>
          <w:ilvl w:val="0"/>
          <w:numId w:val="1"/>
        </w:numPr>
        <w:spacing w:after="225" w:afterAutospacing="0" w:line="270" w:lineRule="atLeast"/>
        <w:rPr>
          <w:rFonts w:ascii="Arial" w:hAnsi="Arial" w:cs="Arial"/>
          <w:sz w:val="22"/>
          <w:szCs w:val="22"/>
        </w:rPr>
      </w:pPr>
      <w:r w:rsidRPr="002C6E17">
        <w:rPr>
          <w:rFonts w:ascii="Arial" w:hAnsi="Arial" w:cs="Arial"/>
          <w:sz w:val="22"/>
          <w:szCs w:val="22"/>
        </w:rPr>
        <w:t xml:space="preserve">The total project will be funded jointly by a </w:t>
      </w:r>
      <w:r w:rsidR="00C014CE" w:rsidRPr="002C6E17">
        <w:rPr>
          <w:rFonts w:ascii="Arial" w:hAnsi="Arial" w:cs="Arial"/>
          <w:sz w:val="22"/>
          <w:szCs w:val="22"/>
        </w:rPr>
        <w:t xml:space="preserve">Third Party </w:t>
      </w:r>
      <w:r w:rsidRPr="002C6E17">
        <w:rPr>
          <w:rFonts w:ascii="Arial" w:hAnsi="Arial" w:cs="Arial"/>
          <w:sz w:val="22"/>
          <w:szCs w:val="22"/>
        </w:rPr>
        <w:t xml:space="preserve">Lender and a </w:t>
      </w:r>
      <w:r w:rsidR="00C014CE" w:rsidRPr="002C6E17">
        <w:rPr>
          <w:rFonts w:ascii="Arial" w:hAnsi="Arial" w:cs="Arial"/>
          <w:sz w:val="22"/>
          <w:szCs w:val="22"/>
        </w:rPr>
        <w:t xml:space="preserve">SBA </w:t>
      </w:r>
      <w:r w:rsidRPr="002C6E17">
        <w:rPr>
          <w:rFonts w:ascii="Arial" w:hAnsi="Arial" w:cs="Arial"/>
          <w:sz w:val="22"/>
          <w:szCs w:val="22"/>
        </w:rPr>
        <w:t xml:space="preserve">504 loan.  </w:t>
      </w:r>
      <w:r w:rsidR="002C6E17" w:rsidRPr="002C6E17">
        <w:rPr>
          <w:rFonts w:ascii="Arial" w:hAnsi="Arial" w:cs="Arial"/>
          <w:sz w:val="22"/>
          <w:szCs w:val="22"/>
        </w:rPr>
        <w:t>Additional documentation will be required if the Third Party Lender wants to refinance its own debt.</w:t>
      </w:r>
    </w:p>
    <w:p w:rsidR="00ED7441" w:rsidRPr="002C6E17" w:rsidRDefault="00ED7441" w:rsidP="00C014CE">
      <w:pPr>
        <w:pStyle w:val="NormalWeb"/>
        <w:numPr>
          <w:ilvl w:val="0"/>
          <w:numId w:val="1"/>
        </w:numPr>
        <w:spacing w:after="225" w:afterAutospacing="0" w:line="270" w:lineRule="atLeast"/>
        <w:rPr>
          <w:rFonts w:ascii="Arial" w:hAnsi="Arial" w:cs="Arial"/>
          <w:sz w:val="22"/>
          <w:szCs w:val="22"/>
        </w:rPr>
      </w:pPr>
      <w:r w:rsidRPr="002C6E17">
        <w:rPr>
          <w:rFonts w:ascii="Arial" w:hAnsi="Arial" w:cs="Arial"/>
          <w:sz w:val="22"/>
          <w:szCs w:val="22"/>
        </w:rPr>
        <w:t xml:space="preserve">Equity can be contributed from existing real estate.  A cash injection </w:t>
      </w:r>
      <w:r w:rsidR="002C6E17" w:rsidRPr="002C6E17">
        <w:rPr>
          <w:rFonts w:ascii="Arial" w:hAnsi="Arial" w:cs="Arial"/>
          <w:sz w:val="22"/>
          <w:szCs w:val="22"/>
        </w:rPr>
        <w:t>and/</w:t>
      </w:r>
      <w:r w:rsidRPr="002C6E17">
        <w:rPr>
          <w:rFonts w:ascii="Arial" w:hAnsi="Arial" w:cs="Arial"/>
          <w:sz w:val="22"/>
          <w:szCs w:val="22"/>
        </w:rPr>
        <w:t>or additi</w:t>
      </w:r>
      <w:r w:rsidR="00352567" w:rsidRPr="002C6E17">
        <w:rPr>
          <w:rFonts w:ascii="Arial" w:hAnsi="Arial" w:cs="Arial"/>
          <w:sz w:val="22"/>
          <w:szCs w:val="22"/>
        </w:rPr>
        <w:t xml:space="preserve">onal collateral may be required </w:t>
      </w:r>
      <w:r w:rsidR="008F2F2E" w:rsidRPr="002C6E17">
        <w:rPr>
          <w:rFonts w:ascii="Arial" w:hAnsi="Arial" w:cs="Arial"/>
          <w:sz w:val="22"/>
          <w:szCs w:val="22"/>
        </w:rPr>
        <w:t>if the ap</w:t>
      </w:r>
      <w:r w:rsidR="00352567" w:rsidRPr="002C6E17">
        <w:rPr>
          <w:rFonts w:ascii="Arial" w:hAnsi="Arial" w:cs="Arial"/>
          <w:sz w:val="22"/>
          <w:szCs w:val="22"/>
        </w:rPr>
        <w:t>praised value</w:t>
      </w:r>
      <w:r w:rsidR="008F2F2E" w:rsidRPr="002C6E17">
        <w:rPr>
          <w:rFonts w:ascii="Arial" w:hAnsi="Arial" w:cs="Arial"/>
          <w:sz w:val="22"/>
          <w:szCs w:val="22"/>
        </w:rPr>
        <w:t xml:space="preserve"> does not meet the</w:t>
      </w:r>
      <w:r w:rsidR="001A3E35" w:rsidRPr="002C6E17">
        <w:rPr>
          <w:rFonts w:ascii="Arial" w:hAnsi="Arial" w:cs="Arial"/>
          <w:sz w:val="22"/>
          <w:szCs w:val="22"/>
        </w:rPr>
        <w:t xml:space="preserve"> </w:t>
      </w:r>
      <w:r w:rsidR="00352567" w:rsidRPr="002C6E17">
        <w:rPr>
          <w:rFonts w:ascii="Arial" w:hAnsi="Arial" w:cs="Arial"/>
          <w:sz w:val="22"/>
          <w:szCs w:val="22"/>
        </w:rPr>
        <w:t xml:space="preserve">90% </w:t>
      </w:r>
      <w:r w:rsidR="008F2F2E" w:rsidRPr="002C6E17">
        <w:rPr>
          <w:rFonts w:ascii="Arial" w:hAnsi="Arial" w:cs="Arial"/>
          <w:sz w:val="22"/>
          <w:szCs w:val="22"/>
        </w:rPr>
        <w:t>loan to value maximum</w:t>
      </w:r>
      <w:r w:rsidR="00352567" w:rsidRPr="002C6E17">
        <w:rPr>
          <w:rFonts w:ascii="Arial" w:hAnsi="Arial" w:cs="Arial"/>
          <w:sz w:val="22"/>
          <w:szCs w:val="22"/>
        </w:rPr>
        <w:t>.</w:t>
      </w:r>
    </w:p>
    <w:p w:rsidR="00946E0B" w:rsidRPr="002C6E17" w:rsidRDefault="001A3E35" w:rsidP="00C014CE">
      <w:pPr>
        <w:pStyle w:val="NormalWeb"/>
        <w:numPr>
          <w:ilvl w:val="0"/>
          <w:numId w:val="1"/>
        </w:numPr>
        <w:spacing w:after="225" w:afterAutospacing="0" w:line="270" w:lineRule="atLeast"/>
        <w:rPr>
          <w:rFonts w:ascii="Arial" w:hAnsi="Arial" w:cs="Arial"/>
          <w:sz w:val="22"/>
          <w:szCs w:val="22"/>
        </w:rPr>
      </w:pPr>
      <w:r w:rsidRPr="002C6E17">
        <w:rPr>
          <w:rFonts w:ascii="Arial" w:hAnsi="Arial" w:cs="Arial"/>
          <w:sz w:val="22"/>
          <w:szCs w:val="22"/>
        </w:rPr>
        <w:t>The SBA Guarantee fee</w:t>
      </w:r>
      <w:r w:rsidR="00946E0B" w:rsidRPr="002C6E17">
        <w:rPr>
          <w:rFonts w:ascii="Arial" w:hAnsi="Arial" w:cs="Arial"/>
          <w:sz w:val="22"/>
          <w:szCs w:val="22"/>
        </w:rPr>
        <w:t xml:space="preserve"> </w:t>
      </w:r>
      <w:r w:rsidRPr="002C6E17">
        <w:rPr>
          <w:rFonts w:ascii="Arial" w:hAnsi="Arial" w:cs="Arial"/>
          <w:sz w:val="22"/>
          <w:szCs w:val="22"/>
        </w:rPr>
        <w:t xml:space="preserve">(built into the SBA interest rate) </w:t>
      </w:r>
      <w:r w:rsidR="00946E0B" w:rsidRPr="002C6E17">
        <w:rPr>
          <w:rFonts w:ascii="Arial" w:hAnsi="Arial" w:cs="Arial"/>
          <w:sz w:val="22"/>
          <w:szCs w:val="22"/>
        </w:rPr>
        <w:t>will be approximately 4</w:t>
      </w:r>
      <w:r w:rsidRPr="002C6E17">
        <w:rPr>
          <w:rFonts w:ascii="Arial" w:hAnsi="Arial" w:cs="Arial"/>
          <w:sz w:val="22"/>
          <w:szCs w:val="22"/>
        </w:rPr>
        <w:t>4</w:t>
      </w:r>
      <w:r w:rsidR="00946E0B" w:rsidRPr="002C6E17">
        <w:rPr>
          <w:rFonts w:ascii="Arial" w:hAnsi="Arial" w:cs="Arial"/>
          <w:sz w:val="22"/>
          <w:szCs w:val="22"/>
        </w:rPr>
        <w:t xml:space="preserve"> basis points higher than current 504 program fees</w:t>
      </w:r>
      <w:r w:rsidR="00352567" w:rsidRPr="002C6E17">
        <w:rPr>
          <w:rFonts w:ascii="Arial" w:hAnsi="Arial" w:cs="Arial"/>
          <w:sz w:val="22"/>
          <w:szCs w:val="22"/>
        </w:rPr>
        <w:t>.</w:t>
      </w:r>
      <w:r w:rsidRPr="002C6E17">
        <w:rPr>
          <w:rFonts w:ascii="Arial" w:hAnsi="Arial" w:cs="Arial"/>
          <w:sz w:val="22"/>
          <w:szCs w:val="22"/>
        </w:rPr>
        <w:t xml:space="preserve">  Based upon the </w:t>
      </w:r>
      <w:r w:rsidR="00CC2A7C">
        <w:rPr>
          <w:rFonts w:ascii="Arial" w:hAnsi="Arial" w:cs="Arial"/>
          <w:sz w:val="22"/>
          <w:szCs w:val="22"/>
        </w:rPr>
        <w:t>January</w:t>
      </w:r>
      <w:r w:rsidRPr="002C6E17">
        <w:rPr>
          <w:rFonts w:ascii="Arial" w:hAnsi="Arial" w:cs="Arial"/>
          <w:sz w:val="22"/>
          <w:szCs w:val="22"/>
        </w:rPr>
        <w:t xml:space="preserve"> 201</w:t>
      </w:r>
      <w:r w:rsidR="00CC2A7C">
        <w:rPr>
          <w:rFonts w:ascii="Arial" w:hAnsi="Arial" w:cs="Arial"/>
          <w:sz w:val="22"/>
          <w:szCs w:val="22"/>
        </w:rPr>
        <w:t>7</w:t>
      </w:r>
      <w:r w:rsidRPr="002C6E17">
        <w:rPr>
          <w:rFonts w:ascii="Arial" w:hAnsi="Arial" w:cs="Arial"/>
          <w:sz w:val="22"/>
          <w:szCs w:val="22"/>
        </w:rPr>
        <w:t xml:space="preserve"> 20-year 504 funding rate of 4.</w:t>
      </w:r>
      <w:r w:rsidR="00CC2A7C">
        <w:rPr>
          <w:rFonts w:ascii="Arial" w:hAnsi="Arial" w:cs="Arial"/>
          <w:sz w:val="22"/>
          <w:szCs w:val="22"/>
        </w:rPr>
        <w:t>585</w:t>
      </w:r>
      <w:r w:rsidRPr="002C6E17">
        <w:rPr>
          <w:rFonts w:ascii="Arial" w:hAnsi="Arial" w:cs="Arial"/>
          <w:sz w:val="22"/>
          <w:szCs w:val="22"/>
        </w:rPr>
        <w:t>%, the refi rate would be 4.</w:t>
      </w:r>
      <w:r w:rsidR="00CC2A7C">
        <w:rPr>
          <w:rFonts w:ascii="Arial" w:hAnsi="Arial" w:cs="Arial"/>
          <w:sz w:val="22"/>
          <w:szCs w:val="22"/>
        </w:rPr>
        <w:t>619</w:t>
      </w:r>
      <w:r w:rsidRPr="002C6E17">
        <w:rPr>
          <w:rFonts w:ascii="Arial" w:hAnsi="Arial" w:cs="Arial"/>
          <w:sz w:val="22"/>
          <w:szCs w:val="22"/>
        </w:rPr>
        <w:t>%</w:t>
      </w:r>
      <w:r w:rsidR="00D210D4">
        <w:rPr>
          <w:rFonts w:ascii="Arial" w:hAnsi="Arial" w:cs="Arial"/>
          <w:sz w:val="22"/>
          <w:szCs w:val="22"/>
        </w:rPr>
        <w:t>.</w:t>
      </w:r>
    </w:p>
    <w:p w:rsidR="00352567" w:rsidRPr="002C6E17" w:rsidRDefault="00352567" w:rsidP="00C014CE">
      <w:pPr>
        <w:pStyle w:val="NormalWeb"/>
        <w:numPr>
          <w:ilvl w:val="0"/>
          <w:numId w:val="1"/>
        </w:numPr>
        <w:spacing w:after="225" w:afterAutospacing="0" w:line="270" w:lineRule="atLeast"/>
        <w:rPr>
          <w:rFonts w:ascii="Arial" w:hAnsi="Arial" w:cs="Arial"/>
          <w:sz w:val="22"/>
          <w:szCs w:val="22"/>
        </w:rPr>
      </w:pPr>
      <w:r w:rsidRPr="002C6E17">
        <w:rPr>
          <w:rFonts w:ascii="Arial" w:hAnsi="Arial" w:cs="Arial"/>
          <w:sz w:val="22"/>
          <w:szCs w:val="22"/>
        </w:rPr>
        <w:t>Job creation and occupancy requirements will be the same as the existing 504 Program requirements.</w:t>
      </w:r>
    </w:p>
    <w:p w:rsidR="00C014CE" w:rsidRPr="002C6E17" w:rsidRDefault="00ED7441" w:rsidP="008C1A34">
      <w:pPr>
        <w:pStyle w:val="NormalWeb"/>
        <w:spacing w:after="225" w:afterAutospacing="0" w:line="270" w:lineRule="atLeast"/>
        <w:jc w:val="center"/>
        <w:rPr>
          <w:rFonts w:ascii="Arial" w:hAnsi="Arial" w:cs="Arial"/>
          <w:sz w:val="22"/>
          <w:szCs w:val="22"/>
        </w:rPr>
      </w:pPr>
      <w:r w:rsidRPr="002C6E17">
        <w:rPr>
          <w:rFonts w:ascii="Arial" w:hAnsi="Arial" w:cs="Arial"/>
          <w:b/>
          <w:sz w:val="22"/>
          <w:szCs w:val="22"/>
        </w:rPr>
        <w:t xml:space="preserve">Contact </w:t>
      </w:r>
      <w:r w:rsidR="00C014CE" w:rsidRPr="002C6E17">
        <w:rPr>
          <w:rFonts w:ascii="Arial" w:hAnsi="Arial" w:cs="Arial"/>
          <w:b/>
          <w:sz w:val="22"/>
          <w:szCs w:val="22"/>
        </w:rPr>
        <w:t>CCDC</w:t>
      </w:r>
      <w:r w:rsidRPr="002C6E17">
        <w:rPr>
          <w:rFonts w:ascii="Arial" w:hAnsi="Arial" w:cs="Arial"/>
          <w:b/>
          <w:sz w:val="22"/>
          <w:szCs w:val="22"/>
        </w:rPr>
        <w:t xml:space="preserve"> to discuss </w:t>
      </w:r>
      <w:r w:rsidR="00C014CE" w:rsidRPr="002C6E17">
        <w:rPr>
          <w:rFonts w:ascii="Arial" w:hAnsi="Arial" w:cs="Arial"/>
          <w:b/>
          <w:sz w:val="22"/>
          <w:szCs w:val="22"/>
        </w:rPr>
        <w:t>eligibility and structure for your</w:t>
      </w:r>
      <w:r w:rsidRPr="002C6E17">
        <w:rPr>
          <w:rFonts w:ascii="Arial" w:hAnsi="Arial" w:cs="Arial"/>
          <w:b/>
          <w:sz w:val="22"/>
          <w:szCs w:val="22"/>
        </w:rPr>
        <w:t xml:space="preserve"> potential project</w:t>
      </w:r>
      <w:r w:rsidR="00C014CE" w:rsidRPr="002C6E17">
        <w:rPr>
          <w:rFonts w:ascii="Arial" w:hAnsi="Arial" w:cs="Arial"/>
          <w:b/>
          <w:sz w:val="22"/>
          <w:szCs w:val="22"/>
        </w:rPr>
        <w:t>s</w:t>
      </w:r>
      <w:r w:rsidRPr="002C6E17">
        <w:rPr>
          <w:rFonts w:ascii="Arial" w:hAnsi="Arial" w:cs="Arial"/>
          <w:b/>
          <w:sz w:val="22"/>
          <w:szCs w:val="22"/>
        </w:rPr>
        <w:t>.</w:t>
      </w:r>
    </w:p>
    <w:p w:rsidR="00C014CE" w:rsidRPr="002C6E17" w:rsidRDefault="00C014CE" w:rsidP="008C1A34">
      <w:pPr>
        <w:jc w:val="center"/>
        <w:rPr>
          <w:b/>
        </w:rPr>
      </w:pPr>
      <w:r w:rsidRPr="002C6E17">
        <w:rPr>
          <w:b/>
        </w:rPr>
        <w:t>Laura Frum, 614-645-</w:t>
      </w:r>
      <w:r w:rsidR="007B0C3A" w:rsidRPr="002C6E17">
        <w:rPr>
          <w:b/>
        </w:rPr>
        <w:t>3937</w:t>
      </w:r>
      <w:r w:rsidRPr="002C6E17">
        <w:rPr>
          <w:b/>
        </w:rPr>
        <w:t xml:space="preserve">, </w:t>
      </w:r>
      <w:hyperlink r:id="rId7" w:history="1">
        <w:r w:rsidR="008C1A34" w:rsidRPr="002C6E17">
          <w:rPr>
            <w:rStyle w:val="Hyperlink"/>
            <w:b/>
          </w:rPr>
          <w:t>laura.frum@ccdcorp.org</w:t>
        </w:r>
      </w:hyperlink>
      <w:r w:rsidR="008C1A34" w:rsidRPr="002C6E17">
        <w:rPr>
          <w:b/>
        </w:rPr>
        <w:t xml:space="preserve"> </w:t>
      </w:r>
      <w:r w:rsidR="00CC2A7C">
        <w:rPr>
          <w:b/>
        </w:rPr>
        <w:t xml:space="preserve">or                                                                                           Clay Stephens, 614-645-8590, </w:t>
      </w:r>
      <w:hyperlink r:id="rId8" w:history="1">
        <w:r w:rsidR="00875220" w:rsidRPr="000D33DF">
          <w:rPr>
            <w:rStyle w:val="Hyperlink"/>
            <w:b/>
          </w:rPr>
          <w:t>clayton.stephens@ccdcorp.org</w:t>
        </w:r>
      </w:hyperlink>
      <w:r w:rsidR="00875220">
        <w:rPr>
          <w:b/>
        </w:rPr>
        <w:t xml:space="preserve">  </w:t>
      </w:r>
      <w:bookmarkStart w:id="0" w:name="_GoBack"/>
      <w:bookmarkEnd w:id="0"/>
      <w:r w:rsidR="008C1A34" w:rsidRPr="002C6E17">
        <w:rPr>
          <w:b/>
        </w:rPr>
        <w:t xml:space="preserve">                                                                                              </w:t>
      </w:r>
    </w:p>
    <w:sectPr w:rsidR="00C014CE" w:rsidRPr="002C6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7DB9"/>
    <w:multiLevelType w:val="hybridMultilevel"/>
    <w:tmpl w:val="C99AD7B0"/>
    <w:lvl w:ilvl="0" w:tplc="09320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9C643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A7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CE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EB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4B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CF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C9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A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5F356DA"/>
    <w:multiLevelType w:val="hybridMultilevel"/>
    <w:tmpl w:val="7802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41"/>
    <w:rsid w:val="000066AC"/>
    <w:rsid w:val="0006653C"/>
    <w:rsid w:val="001A3E35"/>
    <w:rsid w:val="001A519B"/>
    <w:rsid w:val="0020461E"/>
    <w:rsid w:val="0025037C"/>
    <w:rsid w:val="002C6E17"/>
    <w:rsid w:val="00352567"/>
    <w:rsid w:val="00453DA7"/>
    <w:rsid w:val="005F646C"/>
    <w:rsid w:val="007629E1"/>
    <w:rsid w:val="007B0C3A"/>
    <w:rsid w:val="007C4A34"/>
    <w:rsid w:val="007F08D4"/>
    <w:rsid w:val="00875220"/>
    <w:rsid w:val="008C1A34"/>
    <w:rsid w:val="008F2F2E"/>
    <w:rsid w:val="00946E0B"/>
    <w:rsid w:val="00A02187"/>
    <w:rsid w:val="00C014CE"/>
    <w:rsid w:val="00CC2A7C"/>
    <w:rsid w:val="00CE70D7"/>
    <w:rsid w:val="00D210D4"/>
    <w:rsid w:val="00E14668"/>
    <w:rsid w:val="00E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74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ticle-title">
    <w:name w:val="article-title"/>
    <w:basedOn w:val="Normal"/>
    <w:uiPriority w:val="99"/>
    <w:rsid w:val="00ED74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A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1A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74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ticle-title">
    <w:name w:val="article-title"/>
    <w:basedOn w:val="Normal"/>
    <w:uiPriority w:val="99"/>
    <w:rsid w:val="00ED74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A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1A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1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yton.stephens@ccdcorp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laura.frum@ccdcor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F267-E6C2-4D31-86E1-6D71DB17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Renner</dc:creator>
  <cp:lastModifiedBy>Laura Frum</cp:lastModifiedBy>
  <cp:revision>2</cp:revision>
  <cp:lastPrinted>2016-11-30T23:00:00Z</cp:lastPrinted>
  <dcterms:created xsi:type="dcterms:W3CDTF">2017-02-01T13:42:00Z</dcterms:created>
  <dcterms:modified xsi:type="dcterms:W3CDTF">2017-02-01T13:42:00Z</dcterms:modified>
</cp:coreProperties>
</file>